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1" w:rsidRPr="00DB5D47" w:rsidRDefault="00DA1DF7" w:rsidP="00FA4FD1">
      <w:pPr>
        <w:autoSpaceDE w:val="0"/>
        <w:autoSpaceDN w:val="0"/>
        <w:adjustRightInd w:val="0"/>
        <w:spacing w:after="0" w:line="240" w:lineRule="auto"/>
        <w:rPr>
          <w:rFonts w:cs="TT184t00"/>
          <w:i/>
          <w:sz w:val="24"/>
          <w:szCs w:val="24"/>
        </w:rPr>
      </w:pPr>
      <w:bookmarkStart w:id="0" w:name="_GoBack"/>
      <w:bookmarkEnd w:id="0"/>
      <w:r>
        <w:rPr>
          <w:rFonts w:cs="TT184t00"/>
          <w:i/>
          <w:sz w:val="24"/>
          <w:szCs w:val="24"/>
        </w:rPr>
        <w:t>October 22, 2013</w:t>
      </w: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i/>
          <w:sz w:val="24"/>
          <w:szCs w:val="24"/>
        </w:rPr>
      </w:pPr>
      <w:r w:rsidRPr="00DB5D47">
        <w:rPr>
          <w:rFonts w:cs="TT184t00"/>
          <w:i/>
          <w:sz w:val="24"/>
          <w:szCs w:val="24"/>
        </w:rPr>
        <w:t>Issued by Consortium Director, Monica Cordova</w:t>
      </w: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i/>
          <w:sz w:val="24"/>
          <w:szCs w:val="24"/>
        </w:rPr>
      </w:pPr>
      <w:r w:rsidRPr="00DB5D47">
        <w:rPr>
          <w:rFonts w:cs="TT184t00"/>
          <w:i/>
          <w:sz w:val="24"/>
          <w:szCs w:val="24"/>
        </w:rPr>
        <w:t>Directive issuance requested by Sr. Vice President, Sharon Henderson</w:t>
      </w: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DB5D47">
        <w:rPr>
          <w:rFonts w:cs="TT184t00"/>
          <w:sz w:val="24"/>
          <w:szCs w:val="24"/>
        </w:rPr>
        <w:t xml:space="preserve">This program directive is provided to sub-grantees of Prosperity Works in order to re-state the strict rules of using IDA funds for home purchase IDAs.  Non-compliance will not be tolerated.  Any deviance violates </w:t>
      </w:r>
      <w:r w:rsidR="00DB5D47">
        <w:rPr>
          <w:rFonts w:cs="TT184t00"/>
          <w:sz w:val="24"/>
          <w:szCs w:val="24"/>
        </w:rPr>
        <w:t>the rules of the federal funder --</w:t>
      </w:r>
      <w:r w:rsidRPr="00DB5D47">
        <w:rPr>
          <w:rFonts w:cs="TT184t00"/>
          <w:sz w:val="24"/>
          <w:szCs w:val="24"/>
        </w:rPr>
        <w:t xml:space="preserve"> the </w:t>
      </w:r>
      <w:r w:rsidR="00DB5D47">
        <w:rPr>
          <w:rFonts w:cs="TT184t00"/>
          <w:sz w:val="24"/>
          <w:szCs w:val="24"/>
        </w:rPr>
        <w:t>Assets for Independence Program --</w:t>
      </w:r>
      <w:r w:rsidRPr="00DB5D47">
        <w:rPr>
          <w:rFonts w:cs="TT184t00"/>
          <w:sz w:val="24"/>
          <w:szCs w:val="24"/>
        </w:rPr>
        <w:t xml:space="preserve"> and will result in suspension of your IDA initiative.</w:t>
      </w:r>
      <w:r w:rsidR="00DB5D47">
        <w:rPr>
          <w:rFonts w:cs="TT184t00"/>
          <w:sz w:val="24"/>
          <w:szCs w:val="24"/>
        </w:rPr>
        <w:t xml:space="preserve">  </w:t>
      </w:r>
      <w:r w:rsidRPr="00DB5D47">
        <w:rPr>
          <w:rFonts w:cs="TT184t00"/>
          <w:sz w:val="24"/>
          <w:szCs w:val="24"/>
        </w:rPr>
        <w:t xml:space="preserve">Home purchase IDAs have </w:t>
      </w:r>
      <w:r w:rsidRPr="00DB5D47">
        <w:rPr>
          <w:rFonts w:cs="TT184t00"/>
          <w:i/>
          <w:sz w:val="24"/>
          <w:szCs w:val="24"/>
        </w:rPr>
        <w:t xml:space="preserve">very </w:t>
      </w:r>
      <w:r w:rsidR="00DB5D47" w:rsidRPr="00DB5D47">
        <w:rPr>
          <w:rFonts w:cs="TT184t00"/>
          <w:i/>
          <w:sz w:val="24"/>
          <w:szCs w:val="24"/>
        </w:rPr>
        <w:t>specific</w:t>
      </w:r>
      <w:r w:rsidRPr="00DB5D47">
        <w:rPr>
          <w:rFonts w:cs="TT184t00"/>
          <w:sz w:val="24"/>
          <w:szCs w:val="24"/>
        </w:rPr>
        <w:t xml:space="preserve"> mandates that </w:t>
      </w:r>
      <w:r w:rsidRPr="00DB5D47">
        <w:rPr>
          <w:rFonts w:cs="TT184t00"/>
          <w:sz w:val="24"/>
          <w:szCs w:val="24"/>
          <w:u w:val="single"/>
        </w:rPr>
        <w:t>must</w:t>
      </w:r>
      <w:r w:rsidRPr="00DB5D47">
        <w:rPr>
          <w:rFonts w:cs="TT184t00"/>
          <w:sz w:val="24"/>
          <w:szCs w:val="24"/>
        </w:rPr>
        <w:t xml:space="preserve"> be followed.  If any IDA is found to be out of compliance, the match funds must be returned to Prosperity Works.  </w:t>
      </w: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DB5D47">
        <w:rPr>
          <w:rFonts w:cs="TT184t00"/>
          <w:sz w:val="24"/>
          <w:szCs w:val="24"/>
        </w:rPr>
        <w:t xml:space="preserve">A home purchase IDA must have a complete home purchase plan that is reviewed by an eligible housing lender.  </w:t>
      </w:r>
    </w:p>
    <w:p w:rsidR="00FA4FD1" w:rsidRPr="00DB5D47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FA4FD1" w:rsidRDefault="00FA4FD1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DB5D47">
        <w:rPr>
          <w:rFonts w:cs="TT184t00"/>
          <w:sz w:val="24"/>
          <w:szCs w:val="24"/>
        </w:rPr>
        <w:t xml:space="preserve">In order for an IDA withdrawal request to be approved for a home purchase IDA, the </w:t>
      </w:r>
      <w:r w:rsidRPr="00DB5D47">
        <w:rPr>
          <w:rFonts w:cs="TT184t00"/>
          <w:sz w:val="24"/>
          <w:szCs w:val="24"/>
          <w:u w:val="single"/>
        </w:rPr>
        <w:t xml:space="preserve">minimum </w:t>
      </w:r>
      <w:r w:rsidRPr="00DB5D47">
        <w:rPr>
          <w:rFonts w:cs="TT184t00"/>
          <w:sz w:val="24"/>
          <w:szCs w:val="24"/>
        </w:rPr>
        <w:t>requirements must be met:</w:t>
      </w:r>
    </w:p>
    <w:p w:rsidR="00DB5D47" w:rsidRPr="00DB5D47" w:rsidRDefault="00DB5D47" w:rsidP="00FA4FD1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FA4FD1" w:rsidRPr="00DB5D47" w:rsidRDefault="00FA4FD1" w:rsidP="00FA4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DB5D47">
        <w:rPr>
          <w:rFonts w:cs="TT184t00"/>
          <w:sz w:val="24"/>
          <w:szCs w:val="24"/>
        </w:rPr>
        <w:t>Six months of regular savings in the IDA account</w:t>
      </w:r>
    </w:p>
    <w:p w:rsidR="00FA4FD1" w:rsidRPr="00DB5D47" w:rsidRDefault="00FA4FD1" w:rsidP="00FA4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DB5D47">
        <w:rPr>
          <w:rFonts w:cs="TT184t00"/>
          <w:sz w:val="24"/>
          <w:szCs w:val="24"/>
        </w:rPr>
        <w:t>Financial education complete</w:t>
      </w:r>
      <w:r w:rsidR="00DB5D47">
        <w:rPr>
          <w:rFonts w:cs="TT184t00"/>
          <w:sz w:val="24"/>
          <w:szCs w:val="24"/>
        </w:rPr>
        <w:t>d</w:t>
      </w:r>
      <w:r w:rsidRPr="00DB5D47">
        <w:rPr>
          <w:rFonts w:cs="TT184t00"/>
          <w:sz w:val="24"/>
          <w:szCs w:val="24"/>
        </w:rPr>
        <w:t>; Self-Advocacy Portfolio complete</w:t>
      </w:r>
      <w:r w:rsidR="00DB5D47">
        <w:rPr>
          <w:rFonts w:cs="TT184t00"/>
          <w:sz w:val="24"/>
          <w:szCs w:val="24"/>
        </w:rPr>
        <w:t>d</w:t>
      </w:r>
    </w:p>
    <w:p w:rsidR="00FA4FD1" w:rsidRPr="00DB5D47" w:rsidRDefault="005F5A11" w:rsidP="00FA4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>
        <w:rPr>
          <w:rFonts w:cs="TT184t00"/>
          <w:sz w:val="24"/>
          <w:szCs w:val="24"/>
        </w:rPr>
        <w:t>Home P</w:t>
      </w:r>
      <w:r w:rsidR="00FA4FD1" w:rsidRPr="00DB5D47">
        <w:rPr>
          <w:rFonts w:cs="TT184t00"/>
          <w:sz w:val="24"/>
          <w:szCs w:val="24"/>
        </w:rPr>
        <w:t>urchase Plan complete</w:t>
      </w:r>
      <w:r w:rsidR="00DB5D47">
        <w:rPr>
          <w:rFonts w:cs="TT184t00"/>
          <w:sz w:val="24"/>
          <w:szCs w:val="24"/>
        </w:rPr>
        <w:t>d</w:t>
      </w:r>
    </w:p>
    <w:p w:rsidR="00884EE7" w:rsidRPr="00DB5D47" w:rsidRDefault="00FA4FD1" w:rsidP="00FA4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</w:rPr>
      </w:pPr>
      <w:r w:rsidRPr="00DB5D47">
        <w:rPr>
          <w:rFonts w:cs="TT184t00"/>
          <w:sz w:val="24"/>
          <w:szCs w:val="24"/>
        </w:rPr>
        <w:t>Home purchase paperwork sent to Prosperity Works (HUD settlement or Good Faith Estimate)</w:t>
      </w:r>
    </w:p>
    <w:p w:rsidR="00884EE7" w:rsidRPr="005F5A11" w:rsidRDefault="00884EE7" w:rsidP="00884EE7">
      <w:pPr>
        <w:pStyle w:val="Heading3"/>
        <w:rPr>
          <w:rFonts w:asciiTheme="minorHAnsi" w:hAnsiTheme="minorHAnsi"/>
          <w:sz w:val="24"/>
          <w:szCs w:val="24"/>
          <w:u w:val="single"/>
        </w:rPr>
      </w:pPr>
      <w:r w:rsidRPr="005F5A11">
        <w:rPr>
          <w:rFonts w:asciiTheme="minorHAnsi" w:hAnsiTheme="minorHAnsi"/>
          <w:sz w:val="24"/>
          <w:szCs w:val="24"/>
          <w:u w:val="single"/>
        </w:rPr>
        <w:t xml:space="preserve">Homeownership  </w:t>
      </w:r>
    </w:p>
    <w:p w:rsidR="00884EE7" w:rsidRPr="00DB5D47" w:rsidRDefault="00884EE7" w:rsidP="00884EE7">
      <w:pPr>
        <w:pStyle w:val="BodyText3"/>
        <w:spacing w:line="320" w:lineRule="atLeast"/>
        <w:jc w:val="left"/>
        <w:rPr>
          <w:rFonts w:asciiTheme="minorHAnsi" w:hAnsiTheme="minorHAnsi"/>
        </w:rPr>
      </w:pPr>
      <w:r w:rsidRPr="00DB5D47">
        <w:rPr>
          <w:rFonts w:asciiTheme="minorHAnsi" w:hAnsiTheme="minorHAnsi" w:cs="Garamond"/>
        </w:rPr>
        <w:t>The primary project funder (AFI) accepts first time homebuyers as eligible for a home purchase IDA.  The only exception is if the Savings Partner has lost her</w:t>
      </w:r>
      <w:r w:rsidR="00DB5D47">
        <w:rPr>
          <w:rFonts w:asciiTheme="minorHAnsi" w:hAnsiTheme="minorHAnsi" w:cs="Garamond"/>
        </w:rPr>
        <w:t>/his</w:t>
      </w:r>
      <w:r w:rsidRPr="00DB5D47">
        <w:rPr>
          <w:rFonts w:asciiTheme="minorHAnsi" w:hAnsiTheme="minorHAnsi" w:cs="Garamond"/>
        </w:rPr>
        <w:t xml:space="preserve"> home through devastation</w:t>
      </w:r>
      <w:r w:rsidR="00DB5D47">
        <w:rPr>
          <w:rFonts w:asciiTheme="minorHAnsi" w:hAnsiTheme="minorHAnsi" w:cs="Garamond"/>
        </w:rPr>
        <w:t>.  In this situation, t</w:t>
      </w:r>
      <w:r w:rsidRPr="00DB5D47">
        <w:rPr>
          <w:rFonts w:asciiTheme="minorHAnsi" w:hAnsiTheme="minorHAnsi" w:cs="Garamond"/>
        </w:rPr>
        <w:t xml:space="preserve">he IDA can be used to partially finance re-construction of the home.  </w:t>
      </w:r>
      <w:r w:rsidRPr="00DB5D47">
        <w:rPr>
          <w:rFonts w:asciiTheme="minorHAnsi" w:hAnsiTheme="minorHAnsi" w:cs="Garamond"/>
          <w:u w:val="single"/>
        </w:rPr>
        <w:t xml:space="preserve">The qualified </w:t>
      </w:r>
      <w:r w:rsidRPr="00DB5D47">
        <w:rPr>
          <w:rFonts w:asciiTheme="minorHAnsi" w:hAnsiTheme="minorHAnsi" w:cs="Garamond"/>
          <w:b/>
          <w:u w:val="single"/>
        </w:rPr>
        <w:t>purchase costs cannot exceed 120% of the average area purchase</w:t>
      </w:r>
      <w:r w:rsidRPr="00DB5D47">
        <w:rPr>
          <w:rFonts w:asciiTheme="minorHAnsi" w:hAnsiTheme="minorHAnsi" w:cs="Garamond"/>
          <w:u w:val="single"/>
        </w:rPr>
        <w:t xml:space="preserve"> price applicable to a residential purchase.</w:t>
      </w:r>
      <w:r w:rsidRPr="00DB5D47">
        <w:rPr>
          <w:rFonts w:asciiTheme="minorHAnsi" w:hAnsiTheme="minorHAnsi" w:cs="Garamond"/>
        </w:rPr>
        <w:t xml:space="preserve">  The Savings partner’s savings</w:t>
      </w:r>
      <w:r w:rsidR="00DB5D47">
        <w:rPr>
          <w:rFonts w:asciiTheme="minorHAnsi" w:hAnsiTheme="minorHAnsi" w:cs="Garamond"/>
        </w:rPr>
        <w:t>,</w:t>
      </w:r>
      <w:r w:rsidRPr="00DB5D47">
        <w:rPr>
          <w:rFonts w:asciiTheme="minorHAnsi" w:hAnsiTheme="minorHAnsi" w:cs="Garamond"/>
        </w:rPr>
        <w:t xml:space="preserve"> plus the savings match funds</w:t>
      </w:r>
      <w:r w:rsidR="00DB5D47">
        <w:rPr>
          <w:rFonts w:asciiTheme="minorHAnsi" w:hAnsiTheme="minorHAnsi" w:cs="Garamond"/>
        </w:rPr>
        <w:t>,</w:t>
      </w:r>
      <w:r w:rsidRPr="00DB5D47">
        <w:rPr>
          <w:rFonts w:asciiTheme="minorHAnsi" w:hAnsiTheme="minorHAnsi" w:cs="Garamond"/>
        </w:rPr>
        <w:t xml:space="preserve"> must be dispersed to the vendor.</w:t>
      </w:r>
    </w:p>
    <w:p w:rsidR="00884EE7" w:rsidRPr="00DB5D47" w:rsidRDefault="00884EE7" w:rsidP="00884EE7">
      <w:pPr>
        <w:pStyle w:val="BodyText3"/>
        <w:rPr>
          <w:rFonts w:asciiTheme="minorHAnsi" w:hAnsiTheme="minorHAnsi"/>
        </w:rPr>
      </w:pP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  <w:r w:rsidRPr="00DB5D47">
        <w:rPr>
          <w:rFonts w:asciiTheme="minorHAnsi" w:hAnsiTheme="minorHAnsi"/>
        </w:rPr>
        <w:t xml:space="preserve">A </w:t>
      </w:r>
      <w:r w:rsidRPr="00DB5D47">
        <w:rPr>
          <w:rFonts w:asciiTheme="minorHAnsi" w:hAnsiTheme="minorHAnsi"/>
          <w:b/>
          <w:u w:val="single"/>
        </w:rPr>
        <w:t>qualified first-time homebuyer</w:t>
      </w:r>
      <w:r w:rsidRPr="00DB5D47">
        <w:rPr>
          <w:rFonts w:asciiTheme="minorHAnsi" w:hAnsiTheme="minorHAnsi"/>
        </w:rPr>
        <w:t xml:space="preserve"> is an individual who has </w:t>
      </w:r>
      <w:r w:rsidR="00016D5A">
        <w:rPr>
          <w:rFonts w:asciiTheme="minorHAnsi" w:hAnsiTheme="minorHAnsi"/>
        </w:rPr>
        <w:t xml:space="preserve">had </w:t>
      </w:r>
      <w:r w:rsidRPr="00DB5D47">
        <w:rPr>
          <w:rFonts w:asciiTheme="minorHAnsi" w:hAnsiTheme="minorHAnsi"/>
        </w:rPr>
        <w:t>no ownership interest in a principal residence during the 3-year period ending on the date of acquisition of the principal residence.</w:t>
      </w: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  <w:r w:rsidRPr="00DB5D47">
        <w:rPr>
          <w:rFonts w:asciiTheme="minorHAnsi" w:hAnsiTheme="minorHAnsi"/>
          <w:u w:val="single"/>
        </w:rPr>
        <w:t xml:space="preserve">An </w:t>
      </w:r>
      <w:r w:rsidRPr="00DB5D47">
        <w:rPr>
          <w:rFonts w:asciiTheme="minorHAnsi" w:hAnsiTheme="minorHAnsi"/>
          <w:b/>
          <w:u w:val="single"/>
        </w:rPr>
        <w:t>eligible use</w:t>
      </w:r>
      <w:r w:rsidRPr="00DB5D47">
        <w:rPr>
          <w:rFonts w:asciiTheme="minorHAnsi" w:hAnsiTheme="minorHAnsi"/>
          <w:u w:val="single"/>
        </w:rPr>
        <w:t xml:space="preserve"> of the IDA funds, i.e., “qualified purchase costs”</w:t>
      </w:r>
      <w:r w:rsidRPr="005F5A11">
        <w:rPr>
          <w:rFonts w:asciiTheme="minorHAnsi" w:hAnsiTheme="minorHAnsi"/>
        </w:rPr>
        <w:t xml:space="preserve"> means </w:t>
      </w:r>
      <w:r w:rsidRPr="00DB5D47">
        <w:rPr>
          <w:rFonts w:asciiTheme="minorHAnsi" w:hAnsiTheme="minorHAnsi"/>
        </w:rPr>
        <w:t>the costs of acquiring, constructing, or reconstructing a residence.  The term includes any usual or reasonable settlement, financing, or other closing costs.</w:t>
      </w:r>
    </w:p>
    <w:p w:rsidR="00037FF9" w:rsidRDefault="00037FF9">
      <w:pPr>
        <w:rPr>
          <w:rFonts w:eastAsia="Times New Roman" w:cs="Calibri"/>
          <w:kern w:val="3"/>
          <w:sz w:val="24"/>
          <w:szCs w:val="24"/>
          <w:lang w:eastAsia="zh-CN"/>
        </w:rPr>
      </w:pPr>
      <w:r>
        <w:br w:type="page"/>
      </w: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</w:p>
    <w:p w:rsidR="00884EE7" w:rsidRPr="00DB5D47" w:rsidRDefault="00884EE7" w:rsidP="00D262DB">
      <w:pPr>
        <w:pStyle w:val="BodyText3"/>
        <w:jc w:val="left"/>
        <w:rPr>
          <w:rFonts w:asciiTheme="minorHAnsi" w:hAnsiTheme="minorHAnsi"/>
        </w:rPr>
      </w:pPr>
      <w:r w:rsidRPr="00DB5D47">
        <w:rPr>
          <w:rFonts w:asciiTheme="minorHAnsi" w:hAnsiTheme="minorHAnsi"/>
        </w:rPr>
        <w:t>AFI can match funds for homeownership (purchase or construction) in situations where the land is in some form of shared or common ownership, as in land trusts, reservation land, etc.</w:t>
      </w:r>
      <w:r w:rsidR="00016D5A">
        <w:rPr>
          <w:rFonts w:asciiTheme="minorHAnsi" w:hAnsiTheme="minorHAnsi"/>
        </w:rPr>
        <w:t xml:space="preserve"> </w:t>
      </w:r>
      <w:r w:rsidRPr="00DB5D47">
        <w:rPr>
          <w:rFonts w:asciiTheme="minorHAnsi" w:hAnsiTheme="minorHAnsi"/>
        </w:rPr>
        <w:t xml:space="preserve"> You would, of course, want to be clear on what the IDA Saver actually owns</w:t>
      </w:r>
      <w:r w:rsidR="00016D5A">
        <w:rPr>
          <w:rFonts w:asciiTheme="minorHAnsi" w:hAnsiTheme="minorHAnsi"/>
        </w:rPr>
        <w:t>,</w:t>
      </w:r>
      <w:r w:rsidRPr="00DB5D47">
        <w:rPr>
          <w:rFonts w:asciiTheme="minorHAnsi" w:hAnsiTheme="minorHAnsi"/>
        </w:rPr>
        <w:t xml:space="preserve"> and that whatever s/he owns is an asset that can be leveraged to build wealth. </w:t>
      </w:r>
      <w:r w:rsidR="00016D5A">
        <w:rPr>
          <w:rFonts w:asciiTheme="minorHAnsi" w:hAnsiTheme="minorHAnsi"/>
        </w:rPr>
        <w:t xml:space="preserve"> </w:t>
      </w:r>
      <w:r w:rsidRPr="00DB5D47">
        <w:rPr>
          <w:rFonts w:asciiTheme="minorHAnsi" w:hAnsiTheme="minorHAnsi"/>
        </w:rPr>
        <w:t>IDA funds will not be distributed until final closing once the home is completed and the Certificate of Occupancy is obtained.</w:t>
      </w: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</w:p>
    <w:p w:rsidR="00884EE7" w:rsidRPr="00DB5D47" w:rsidRDefault="00884EE7" w:rsidP="00884EE7">
      <w:pPr>
        <w:pStyle w:val="BodyText3"/>
        <w:jc w:val="left"/>
        <w:rPr>
          <w:rFonts w:asciiTheme="minorHAnsi" w:hAnsiTheme="minorHAnsi"/>
        </w:rPr>
      </w:pPr>
      <w:r w:rsidRPr="00DB5D47">
        <w:rPr>
          <w:rFonts w:asciiTheme="minorHAnsi" w:hAnsiTheme="minorHAnsi"/>
        </w:rPr>
        <w:t xml:space="preserve">There are many things to consider with a homeownership goal.  A primary consideration is that a home, although an asset, also creates a long-term liability for the household.  It is important to work closely with an agency that specializes in homeownership in order to help the Savings Partner purchase a home that is affordable over the years.  </w:t>
      </w:r>
    </w:p>
    <w:p w:rsidR="00884EE7" w:rsidRPr="00DB5D47" w:rsidRDefault="00884EE7" w:rsidP="00884EE7">
      <w:pPr>
        <w:pStyle w:val="BodyText3"/>
        <w:rPr>
          <w:rFonts w:asciiTheme="minorHAnsi" w:hAnsiTheme="minorHAnsi"/>
        </w:rPr>
      </w:pPr>
    </w:p>
    <w:p w:rsidR="00980C63" w:rsidRDefault="00D262DB" w:rsidP="00D262DB">
      <w:pPr>
        <w:spacing w:after="0"/>
        <w:ind w:firstLine="720"/>
        <w:rPr>
          <w:sz w:val="24"/>
          <w:szCs w:val="24"/>
          <w:u w:val="single"/>
        </w:rPr>
      </w:pPr>
      <w:r w:rsidRPr="00D262DB">
        <w:rPr>
          <w:sz w:val="24"/>
          <w:szCs w:val="24"/>
          <w:u w:val="single"/>
        </w:rPr>
        <w:t>Special Management Considerations with Homeownership</w:t>
      </w:r>
    </w:p>
    <w:p w:rsidR="00D262DB" w:rsidRPr="00D262DB" w:rsidRDefault="00D262DB" w:rsidP="00D262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62DB">
        <w:rPr>
          <w:sz w:val="24"/>
          <w:szCs w:val="24"/>
        </w:rPr>
        <w:t>Good credit is essential to mortgage-readiness</w:t>
      </w:r>
    </w:p>
    <w:p w:rsidR="00D262DB" w:rsidRPr="00D262DB" w:rsidRDefault="00D262DB" w:rsidP="00D262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62DB">
        <w:rPr>
          <w:sz w:val="24"/>
          <w:szCs w:val="24"/>
        </w:rPr>
        <w:t xml:space="preserve">First-time homebuyer </w:t>
      </w:r>
      <w:r>
        <w:rPr>
          <w:sz w:val="24"/>
          <w:szCs w:val="24"/>
        </w:rPr>
        <w:t>t</w:t>
      </w:r>
      <w:r w:rsidRPr="00D262DB">
        <w:rPr>
          <w:sz w:val="24"/>
          <w:szCs w:val="24"/>
        </w:rPr>
        <w:t>raining is an added resource for the Savings Partner, and should happen early in the process</w:t>
      </w:r>
    </w:p>
    <w:p w:rsidR="00D262DB" w:rsidRPr="00D262DB" w:rsidRDefault="00D262DB" w:rsidP="00D262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62DB">
        <w:rPr>
          <w:sz w:val="24"/>
          <w:szCs w:val="24"/>
        </w:rPr>
        <w:t>Additional down-payment assistance programs are available, and should be used to bring the long-term cost of the mortgage as low as possible</w:t>
      </w:r>
    </w:p>
    <w:p w:rsidR="00D262DB" w:rsidRPr="00D262DB" w:rsidRDefault="00D262DB" w:rsidP="00D262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62DB">
        <w:rPr>
          <w:sz w:val="24"/>
          <w:szCs w:val="24"/>
        </w:rPr>
        <w:t xml:space="preserve">Verification of use of funds for purchase includes a copy of the executed HUD-1 statement </w:t>
      </w:r>
    </w:p>
    <w:sectPr w:rsidR="00D262DB" w:rsidRPr="00D262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0" w:rsidRDefault="00232640" w:rsidP="00FA4FD1">
      <w:pPr>
        <w:spacing w:after="0" w:line="240" w:lineRule="auto"/>
      </w:pPr>
      <w:r>
        <w:separator/>
      </w:r>
    </w:p>
  </w:endnote>
  <w:endnote w:type="continuationSeparator" w:id="0">
    <w:p w:rsidR="00232640" w:rsidRDefault="00232640" w:rsidP="00F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1" w:rsidRPr="00DB5D47" w:rsidRDefault="00DB5D47" w:rsidP="00BB5482">
    <w:pPr>
      <w:pStyle w:val="Footer"/>
      <w:tabs>
        <w:tab w:val="clear" w:pos="4680"/>
        <w:tab w:val="clear" w:pos="9360"/>
        <w:tab w:val="left" w:pos="3060"/>
      </w:tabs>
      <w:rPr>
        <w:sz w:val="18"/>
        <w:szCs w:val="18"/>
      </w:rPr>
    </w:pPr>
    <w:r w:rsidRPr="00DB5D47">
      <w:rPr>
        <w:sz w:val="18"/>
        <w:szCs w:val="18"/>
      </w:rPr>
      <w:t>©Prosperity Works 2014</w:t>
    </w:r>
    <w:r w:rsidR="00BB5482">
      <w:rPr>
        <w:sz w:val="18"/>
        <w:szCs w:val="18"/>
      </w:rPr>
      <w:tab/>
    </w:r>
    <w:r w:rsidR="00BB5482">
      <w:rPr>
        <w:sz w:val="18"/>
        <w:szCs w:val="18"/>
      </w:rPr>
      <w:tab/>
    </w:r>
    <w:r w:rsidR="00BB5482">
      <w:rPr>
        <w:sz w:val="18"/>
        <w:szCs w:val="18"/>
      </w:rPr>
      <w:tab/>
    </w:r>
    <w:r w:rsidR="00BB5482">
      <w:rPr>
        <w:sz w:val="18"/>
        <w:szCs w:val="18"/>
      </w:rPr>
      <w:fldChar w:fldCharType="begin"/>
    </w:r>
    <w:r w:rsidR="00BB5482">
      <w:rPr>
        <w:sz w:val="18"/>
        <w:szCs w:val="18"/>
      </w:rPr>
      <w:instrText xml:space="preserve"> PAGE  \* ArabicDash  \* MERGEFORMAT </w:instrText>
    </w:r>
    <w:r w:rsidR="00BB5482">
      <w:rPr>
        <w:sz w:val="18"/>
        <w:szCs w:val="18"/>
      </w:rPr>
      <w:fldChar w:fldCharType="separate"/>
    </w:r>
    <w:r w:rsidR="00F43DBB">
      <w:rPr>
        <w:noProof/>
        <w:sz w:val="18"/>
        <w:szCs w:val="18"/>
      </w:rPr>
      <w:t>- 1 -</w:t>
    </w:r>
    <w:r w:rsidR="00BB548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0" w:rsidRDefault="00232640" w:rsidP="00FA4FD1">
      <w:pPr>
        <w:spacing w:after="0" w:line="240" w:lineRule="auto"/>
      </w:pPr>
      <w:r>
        <w:separator/>
      </w:r>
    </w:p>
  </w:footnote>
  <w:footnote w:type="continuationSeparator" w:id="0">
    <w:p w:rsidR="00232640" w:rsidRDefault="00232640" w:rsidP="00FA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82" w:rsidRPr="00BB5482" w:rsidRDefault="00D863BB" w:rsidP="00B657BA">
    <w:pPr>
      <w:autoSpaceDE w:val="0"/>
      <w:autoSpaceDN w:val="0"/>
      <w:adjustRightInd w:val="0"/>
      <w:spacing w:after="0" w:line="240" w:lineRule="auto"/>
      <w:ind w:left="2160" w:hanging="2160"/>
      <w:rPr>
        <w:rFonts w:cs="TT184t00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239AC536" wp14:editId="038C646A">
          <wp:extent cx="80010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482">
      <w:tab/>
    </w:r>
    <w:r w:rsidR="00BB5482" w:rsidRPr="00BB5482">
      <w:rPr>
        <w:rFonts w:cs="TT184t00"/>
        <w:b/>
        <w:sz w:val="32"/>
        <w:szCs w:val="32"/>
        <w:u w:val="single"/>
      </w:rPr>
      <w:t>New Mexico Assets Consortium</w:t>
    </w:r>
    <w:r w:rsidR="00B657BA">
      <w:rPr>
        <w:rFonts w:cs="TT184t00"/>
        <w:b/>
        <w:sz w:val="32"/>
        <w:szCs w:val="32"/>
        <w:u w:val="single"/>
      </w:rPr>
      <w:t>--</w:t>
    </w:r>
    <w:r w:rsidR="00BB5482" w:rsidRPr="00BB5482">
      <w:rPr>
        <w:rFonts w:cs="TT184t00"/>
        <w:b/>
        <w:sz w:val="32"/>
        <w:szCs w:val="32"/>
        <w:u w:val="single"/>
      </w:rPr>
      <w:t>Directive on Home Purchase IDAs</w:t>
    </w:r>
  </w:p>
  <w:p w:rsidR="00037FF9" w:rsidRDefault="00037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AFD"/>
    <w:multiLevelType w:val="multilevel"/>
    <w:tmpl w:val="CD7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C00968"/>
    <w:multiLevelType w:val="multilevel"/>
    <w:tmpl w:val="FC9CAE1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46C30FD"/>
    <w:multiLevelType w:val="hybridMultilevel"/>
    <w:tmpl w:val="0888A0A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23DA2C2B"/>
    <w:multiLevelType w:val="hybridMultilevel"/>
    <w:tmpl w:val="638A004C"/>
    <w:lvl w:ilvl="0" w:tplc="867CDD2C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51DAD"/>
    <w:multiLevelType w:val="hybridMultilevel"/>
    <w:tmpl w:val="428457D6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7587"/>
    <w:multiLevelType w:val="hybridMultilevel"/>
    <w:tmpl w:val="0A6AC2BE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6AAA"/>
    <w:multiLevelType w:val="hybridMultilevel"/>
    <w:tmpl w:val="26A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2"/>
    <w:rsid w:val="00000862"/>
    <w:rsid w:val="00016D5A"/>
    <w:rsid w:val="00037FF9"/>
    <w:rsid w:val="00232640"/>
    <w:rsid w:val="00276895"/>
    <w:rsid w:val="003617E8"/>
    <w:rsid w:val="004660E7"/>
    <w:rsid w:val="00575327"/>
    <w:rsid w:val="005F5A11"/>
    <w:rsid w:val="00884EE7"/>
    <w:rsid w:val="00955ED1"/>
    <w:rsid w:val="00980C63"/>
    <w:rsid w:val="00A327CF"/>
    <w:rsid w:val="00B657BA"/>
    <w:rsid w:val="00BB0049"/>
    <w:rsid w:val="00BB5482"/>
    <w:rsid w:val="00D13866"/>
    <w:rsid w:val="00D262DB"/>
    <w:rsid w:val="00D863BB"/>
    <w:rsid w:val="00DA1DF7"/>
    <w:rsid w:val="00DB5D47"/>
    <w:rsid w:val="00F26654"/>
    <w:rsid w:val="00F43DBB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62"/>
  </w:style>
  <w:style w:type="paragraph" w:styleId="Heading3">
    <w:name w:val="heading 3"/>
    <w:basedOn w:val="Normal"/>
    <w:next w:val="Normal"/>
    <w:link w:val="Heading3Char"/>
    <w:rsid w:val="00884EE7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4EE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styleId="BodyText3">
    <w:name w:val="Body Text 3"/>
    <w:basedOn w:val="Normal"/>
    <w:link w:val="BodyText3Char"/>
    <w:rsid w:val="00884E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884EE7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4">
    <w:name w:val="WW8Num14"/>
    <w:basedOn w:val="NoList"/>
    <w:rsid w:val="00884EE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D1"/>
  </w:style>
  <w:style w:type="paragraph" w:styleId="Footer">
    <w:name w:val="footer"/>
    <w:basedOn w:val="Normal"/>
    <w:link w:val="FooterChar"/>
    <w:uiPriority w:val="99"/>
    <w:unhideWhenUsed/>
    <w:rsid w:val="00F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62"/>
  </w:style>
  <w:style w:type="paragraph" w:styleId="Heading3">
    <w:name w:val="heading 3"/>
    <w:basedOn w:val="Normal"/>
    <w:next w:val="Normal"/>
    <w:link w:val="Heading3Char"/>
    <w:rsid w:val="00884EE7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4EE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styleId="BodyText3">
    <w:name w:val="Body Text 3"/>
    <w:basedOn w:val="Normal"/>
    <w:link w:val="BodyText3Char"/>
    <w:rsid w:val="00884E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884EE7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4">
    <w:name w:val="WW8Num14"/>
    <w:basedOn w:val="NoList"/>
    <w:rsid w:val="00884EE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D1"/>
  </w:style>
  <w:style w:type="paragraph" w:styleId="Footer">
    <w:name w:val="footer"/>
    <w:basedOn w:val="Normal"/>
    <w:link w:val="FooterChar"/>
    <w:uiPriority w:val="99"/>
    <w:unhideWhenUsed/>
    <w:rsid w:val="00F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Stinnett</dc:creator>
  <cp:lastModifiedBy>Monica Cordova</cp:lastModifiedBy>
  <cp:revision>2</cp:revision>
  <cp:lastPrinted>2014-11-14T20:01:00Z</cp:lastPrinted>
  <dcterms:created xsi:type="dcterms:W3CDTF">2015-09-27T23:46:00Z</dcterms:created>
  <dcterms:modified xsi:type="dcterms:W3CDTF">2015-09-27T23:46:00Z</dcterms:modified>
</cp:coreProperties>
</file>